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BB4F0" w14:textId="161F70FB" w:rsidR="00B02DC2" w:rsidRPr="007728E8" w:rsidRDefault="00B02DC2" w:rsidP="00B02DC2">
      <w:pPr>
        <w:pStyle w:val="CRCoverPage"/>
        <w:tabs>
          <w:tab w:val="right" w:pos="9639"/>
        </w:tabs>
        <w:spacing w:after="0"/>
        <w:rPr>
          <w:b/>
          <w:i/>
          <w:noProof/>
          <w:sz w:val="28"/>
        </w:rPr>
      </w:pPr>
      <w:r>
        <w:rPr>
          <w:b/>
          <w:bCs/>
          <w:sz w:val="24"/>
          <w:szCs w:val="24"/>
          <w:lang w:eastAsia="ja-JP"/>
        </w:rPr>
        <w:t>3GPP TSG-RAN WG2 Meeting #1</w:t>
      </w:r>
      <w:r w:rsidR="00DB6E72">
        <w:rPr>
          <w:b/>
          <w:bCs/>
          <w:sz w:val="24"/>
          <w:szCs w:val="24"/>
          <w:lang w:eastAsia="ja-JP"/>
        </w:rPr>
        <w:t>2</w:t>
      </w:r>
      <w:r w:rsidR="00207FDC">
        <w:rPr>
          <w:b/>
          <w:bCs/>
          <w:sz w:val="24"/>
          <w:szCs w:val="24"/>
          <w:lang w:eastAsia="ja-JP"/>
        </w:rPr>
        <w:t>1</w:t>
      </w:r>
      <w:r>
        <w:rPr>
          <w:b/>
          <w:i/>
          <w:noProof/>
          <w:sz w:val="28"/>
        </w:rPr>
        <w:tab/>
        <w:t xml:space="preserve"> </w:t>
      </w:r>
      <w:r w:rsidR="00F17726" w:rsidRPr="00F17726">
        <w:rPr>
          <w:b/>
          <w:noProof/>
          <w:sz w:val="28"/>
        </w:rPr>
        <w:t>R2-2300264</w:t>
      </w:r>
    </w:p>
    <w:p w14:paraId="7AE71E15" w14:textId="77777777" w:rsidR="00207FDC" w:rsidRDefault="00207FDC" w:rsidP="00207FDC">
      <w:pPr>
        <w:pStyle w:val="CRCoverPage"/>
        <w:rPr>
          <w:b/>
          <w:noProof/>
          <w:sz w:val="24"/>
        </w:rPr>
      </w:pPr>
      <w:r>
        <w:rPr>
          <w:b/>
          <w:noProof/>
          <w:sz w:val="24"/>
          <w:lang w:val="en-US"/>
        </w:rPr>
        <w:t>Athens G</w:t>
      </w:r>
      <w:r>
        <w:rPr>
          <w:b/>
          <w:noProof/>
          <w:sz w:val="24"/>
          <w:lang w:eastAsia="zh-CN"/>
        </w:rPr>
        <w:t>R</w:t>
      </w:r>
      <w:r>
        <w:rPr>
          <w:b/>
          <w:noProof/>
          <w:sz w:val="24"/>
        </w:rPr>
        <w:t>,</w:t>
      </w:r>
      <w:r w:rsidRPr="002F75AC">
        <w:rPr>
          <w:rFonts w:eastAsia="SimSun" w:cs="Arial"/>
          <w:b/>
          <w:bCs/>
          <w:sz w:val="24"/>
          <w:szCs w:val="24"/>
          <w:lang w:val="en-US" w:eastAsia="zh-CN"/>
        </w:rPr>
        <w:t xml:space="preserve"> </w:t>
      </w:r>
      <w:r>
        <w:rPr>
          <w:rFonts w:eastAsia="SimSun" w:cs="Arial"/>
          <w:b/>
          <w:bCs/>
          <w:sz w:val="24"/>
          <w:szCs w:val="24"/>
          <w:lang w:val="en-US" w:eastAsia="zh-CN"/>
        </w:rPr>
        <w:t>Feb 27- March 3</w:t>
      </w:r>
      <w:r>
        <w:rPr>
          <w:rFonts w:cs="Arial"/>
          <w:b/>
          <w:bCs/>
          <w:sz w:val="24"/>
          <w:szCs w:val="24"/>
          <w:lang w:val="en-US" w:eastAsia="zh-CN"/>
        </w:rPr>
        <w:t>, 2023</w:t>
      </w:r>
    </w:p>
    <w:p w14:paraId="51FC7E83" w14:textId="049E4B5B" w:rsidR="00B02DC2" w:rsidRPr="00DB6E72" w:rsidRDefault="00B02DC2" w:rsidP="00B02DC2">
      <w:pPr>
        <w:pStyle w:val="CRCoverPage"/>
        <w:ind w:left="1988" w:hanging="1988"/>
        <w:rPr>
          <w:rFonts w:eastAsia="SimSun"/>
          <w:b/>
          <w:noProof/>
          <w:sz w:val="24"/>
          <w:lang w:val="en-US" w:eastAsia="zh-CN"/>
        </w:rPr>
      </w:pPr>
      <w:r>
        <w:rPr>
          <w:b/>
          <w:noProof/>
          <w:sz w:val="24"/>
        </w:rPr>
        <w:t>Agenda Item:</w:t>
      </w:r>
      <w:r>
        <w:rPr>
          <w:b/>
          <w:noProof/>
          <w:sz w:val="24"/>
        </w:rPr>
        <w:tab/>
        <w:t>8.</w:t>
      </w:r>
      <w:r w:rsidR="001574B5">
        <w:rPr>
          <w:b/>
          <w:noProof/>
          <w:sz w:val="24"/>
        </w:rPr>
        <w:t>6</w:t>
      </w:r>
      <w:r>
        <w:rPr>
          <w:b/>
          <w:noProof/>
          <w:sz w:val="24"/>
        </w:rPr>
        <w:t>.</w:t>
      </w:r>
      <w:r w:rsidR="00DB6E72">
        <w:rPr>
          <w:b/>
          <w:noProof/>
          <w:sz w:val="24"/>
        </w:rPr>
        <w:t>3</w:t>
      </w:r>
      <w:r w:rsidR="008477CA">
        <w:rPr>
          <w:b/>
          <w:noProof/>
          <w:sz w:val="24"/>
        </w:rPr>
        <w:t>.1</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582F9D1D"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8477CA" w:rsidRPr="008477CA">
        <w:rPr>
          <w:b/>
          <w:noProof/>
          <w:sz w:val="24"/>
        </w:rPr>
        <w:t>Enhancements on neighbour cell measurement</w:t>
      </w:r>
    </w:p>
    <w:bookmarkEnd w:id="0"/>
    <w:bookmarkEnd w:id="1"/>
    <w:p w14:paraId="1EB2D31E" w14:textId="6AD24BEA"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sidR="008659D0">
        <w:rPr>
          <w:b/>
          <w:noProof/>
          <w:sz w:val="24"/>
        </w:rPr>
        <w:t xml:space="preserve">Discussion and </w:t>
      </w:r>
      <w:r w:rsidR="00904BF4" w:rsidRPr="00904BF4">
        <w:rPr>
          <w:b/>
          <w:noProof/>
          <w:sz w:val="24"/>
        </w:rPr>
        <w:t>Agreement</w:t>
      </w:r>
    </w:p>
    <w:p w14:paraId="3EBF3ADE" w14:textId="77777777" w:rsidR="00CA2EA4" w:rsidRPr="00046880" w:rsidRDefault="003C1CA3" w:rsidP="002000A7">
      <w:pPr>
        <w:pStyle w:val="Heading1"/>
        <w:rPr>
          <w:rFonts w:eastAsia="SimSun"/>
          <w:b/>
          <w:lang w:val="en-US" w:eastAsia="zh-CN"/>
        </w:rPr>
      </w:pPr>
      <w:r w:rsidRPr="008321E7">
        <w:rPr>
          <w:b/>
          <w:lang w:val="en-US" w:eastAsia="ko-KR"/>
        </w:rPr>
        <w:t xml:space="preserve">1 </w:t>
      </w:r>
      <w:r w:rsidR="00156A1A" w:rsidRPr="008321E7">
        <w:rPr>
          <w:b/>
          <w:lang w:val="en-US" w:eastAsia="ko-KR"/>
        </w:rPr>
        <w:t>Introduction</w:t>
      </w:r>
    </w:p>
    <w:p w14:paraId="4C5D4CB4" w14:textId="033F4A39" w:rsidR="00D567FB" w:rsidRDefault="00A01D27" w:rsidP="00A01D27">
      <w:pPr>
        <w:pStyle w:val="CRCoverPage"/>
        <w:spacing w:after="0"/>
        <w:rPr>
          <w:noProof/>
          <w:lang w:val="en-US" w:eastAsia="zh-CN"/>
        </w:rPr>
      </w:pPr>
      <w:r>
        <w:rPr>
          <w:noProof/>
          <w:lang w:val="en-US" w:eastAsia="zh-CN"/>
        </w:rPr>
        <w:t xml:space="preserve">RAN4 indicated RAN2 in </w:t>
      </w:r>
      <w:r w:rsidRPr="004E04C9">
        <w:rPr>
          <w:noProof/>
          <w:lang w:val="en-US" w:eastAsia="zh-CN"/>
        </w:rPr>
        <w:t>LS</w:t>
      </w:r>
      <w:r w:rsidR="00D567FB">
        <w:rPr>
          <w:noProof/>
          <w:lang w:val="en-US" w:eastAsia="zh-CN"/>
        </w:rPr>
        <w:t>[1] to ask for neighbour cell ephemeris</w:t>
      </w:r>
      <w:r>
        <w:rPr>
          <w:noProof/>
          <w:lang w:val="en-US" w:eastAsia="zh-CN"/>
        </w:rPr>
        <w:t xml:space="preserve">: </w:t>
      </w:r>
      <w:r w:rsidRPr="004E04C9">
        <w:rPr>
          <w:i/>
          <w:iCs/>
          <w:noProof/>
          <w:lang w:val="en-US" w:eastAsia="zh-CN"/>
        </w:rPr>
        <w:t>Similar as NR NTN, the mobility and measurement requirements for IoT NTN apply provided that valid information for the neighbour/target cell is made available to the UE.</w:t>
      </w:r>
      <w:r>
        <w:rPr>
          <w:noProof/>
          <w:lang w:val="en-US" w:eastAsia="zh-CN"/>
        </w:rPr>
        <w:t xml:space="preserve"> </w:t>
      </w:r>
    </w:p>
    <w:p w14:paraId="179BFDEB" w14:textId="77777777" w:rsidR="00A01D27" w:rsidRDefault="00A01D27" w:rsidP="00355D0B">
      <w:pPr>
        <w:pStyle w:val="Doc-text2"/>
        <w:ind w:left="0" w:firstLine="0"/>
        <w:rPr>
          <w:rFonts w:eastAsia="SimSun"/>
          <w:lang w:val="en-US" w:eastAsia="zh-CN"/>
        </w:rPr>
      </w:pPr>
    </w:p>
    <w:p w14:paraId="14C16F18" w14:textId="7A08DEBB" w:rsidR="00A01D27" w:rsidRDefault="00A01D27" w:rsidP="00355D0B">
      <w:pPr>
        <w:pStyle w:val="Doc-text2"/>
        <w:ind w:left="0" w:firstLine="0"/>
        <w:rPr>
          <w:rFonts w:eastAsia="SimSun"/>
          <w:lang w:eastAsia="zh-CN"/>
        </w:rPr>
      </w:pPr>
      <w:r>
        <w:rPr>
          <w:rFonts w:eastAsia="SimSun" w:hint="eastAsia"/>
          <w:lang w:eastAsia="zh-CN"/>
        </w:rPr>
        <w:t>R</w:t>
      </w:r>
      <w:r>
        <w:rPr>
          <w:rFonts w:eastAsia="SimSun"/>
          <w:lang w:eastAsia="zh-CN"/>
        </w:rPr>
        <w:t>AN2#120</w:t>
      </w:r>
      <w:r w:rsidR="00D567FB">
        <w:rPr>
          <w:rFonts w:eastAsia="SimSun"/>
          <w:lang w:eastAsia="zh-CN"/>
        </w:rPr>
        <w:t xml:space="preserve"> has made the following agreement:</w:t>
      </w:r>
    </w:p>
    <w:p w14:paraId="4155B2BB" w14:textId="77777777" w:rsidR="00D567FB" w:rsidRDefault="00D567FB" w:rsidP="00355D0B">
      <w:pPr>
        <w:pStyle w:val="Doc-text2"/>
        <w:ind w:left="0" w:firstLine="0"/>
        <w:rPr>
          <w:rFonts w:eastAsia="SimSun"/>
          <w:lang w:eastAsia="zh-CN"/>
        </w:rPr>
      </w:pPr>
    </w:p>
    <w:p w14:paraId="0BCCF840" w14:textId="77777777" w:rsidR="00D567FB" w:rsidRDefault="00D567FB" w:rsidP="00D567FB">
      <w:pPr>
        <w:pStyle w:val="Doc-text2"/>
        <w:pBdr>
          <w:top w:val="single" w:sz="4" w:space="1" w:color="auto"/>
          <w:left w:val="single" w:sz="4" w:space="31" w:color="auto"/>
          <w:bottom w:val="single" w:sz="4" w:space="1" w:color="auto"/>
          <w:right w:val="single" w:sz="4" w:space="4" w:color="auto"/>
        </w:pBdr>
      </w:pPr>
      <w:r>
        <w:t>Agreements:</w:t>
      </w:r>
    </w:p>
    <w:p w14:paraId="515C73A9" w14:textId="77777777" w:rsidR="00D567FB" w:rsidRDefault="00D567FB" w:rsidP="00D567FB">
      <w:pPr>
        <w:pStyle w:val="Doc-text2"/>
        <w:numPr>
          <w:ilvl w:val="0"/>
          <w:numId w:val="31"/>
        </w:numPr>
        <w:pBdr>
          <w:top w:val="single" w:sz="4" w:space="1" w:color="auto"/>
          <w:left w:val="single" w:sz="4" w:space="31" w:color="auto"/>
          <w:bottom w:val="single" w:sz="4" w:space="1" w:color="auto"/>
          <w:right w:val="single" w:sz="4" w:space="4" w:color="auto"/>
        </w:pBdr>
      </w:pPr>
      <w:r>
        <w:t xml:space="preserve">RAN2 doesn’t introduce neighbour cell ephemeris in Rel-17 IoT-NTN, neither for </w:t>
      </w:r>
      <w:proofErr w:type="spellStart"/>
      <w:r>
        <w:t>eMTC</w:t>
      </w:r>
      <w:proofErr w:type="spellEnd"/>
      <w:r>
        <w:t xml:space="preserve"> not for NB-IoT. RAN2 agrees to support this in Rel-18, with details FFS.</w:t>
      </w:r>
    </w:p>
    <w:p w14:paraId="62CDEE03" w14:textId="77777777" w:rsidR="00D567FB" w:rsidRDefault="00D567FB" w:rsidP="00D567FB">
      <w:pPr>
        <w:pStyle w:val="Doc-text2"/>
        <w:ind w:left="0" w:firstLine="0"/>
      </w:pPr>
    </w:p>
    <w:p w14:paraId="1235DCE0" w14:textId="77777777" w:rsidR="00D567FB" w:rsidRPr="00D567FB" w:rsidRDefault="00D567FB" w:rsidP="00355D0B">
      <w:pPr>
        <w:pStyle w:val="Doc-text2"/>
        <w:ind w:left="0" w:firstLine="0"/>
        <w:rPr>
          <w:rFonts w:eastAsia="SimSun"/>
          <w:lang w:eastAsia="zh-CN"/>
        </w:rPr>
      </w:pPr>
    </w:p>
    <w:p w14:paraId="29B44710" w14:textId="4CC69EEB" w:rsidR="00340160" w:rsidRDefault="00A01D27" w:rsidP="00355D0B">
      <w:pPr>
        <w:pStyle w:val="Doc-text2"/>
        <w:ind w:left="0" w:firstLine="0"/>
        <w:rPr>
          <w:rFonts w:eastAsia="SimSun"/>
          <w:lang w:val="en-US" w:eastAsia="zh-CN"/>
        </w:rPr>
      </w:pPr>
      <w:r>
        <w:rPr>
          <w:rFonts w:eastAsia="SimSun" w:hint="eastAsia"/>
          <w:lang w:eastAsia="zh-CN"/>
        </w:rPr>
        <w:t>RP</w:t>
      </w:r>
      <w:r>
        <w:rPr>
          <w:rFonts w:eastAsia="SimSun"/>
          <w:lang w:val="en-US" w:eastAsia="zh-CN"/>
        </w:rPr>
        <w:t>#98e has revised the Rel-18 WID [</w:t>
      </w:r>
      <w:r w:rsidR="00D567FB">
        <w:rPr>
          <w:rFonts w:eastAsia="SimSun"/>
          <w:lang w:val="en-US" w:eastAsia="zh-CN"/>
        </w:rPr>
        <w:t>2</w:t>
      </w:r>
      <w:r>
        <w:rPr>
          <w:rFonts w:eastAsia="SimSun"/>
          <w:lang w:val="en-US" w:eastAsia="zh-CN"/>
        </w:rPr>
        <w:t>], a new Work item was added.</w:t>
      </w:r>
    </w:p>
    <w:p w14:paraId="7ACB8D03" w14:textId="77777777" w:rsidR="00D567FB" w:rsidRDefault="00D567FB" w:rsidP="00355D0B">
      <w:pPr>
        <w:pStyle w:val="Doc-text2"/>
        <w:ind w:left="0" w:firstLine="0"/>
        <w:rPr>
          <w:rFonts w:eastAsia="SimSun"/>
          <w:lang w:val="en-US" w:eastAsia="zh-CN"/>
        </w:rPr>
      </w:pPr>
    </w:p>
    <w:p w14:paraId="6ADE7B84" w14:textId="77777777" w:rsidR="00D567FB" w:rsidRPr="00756D29" w:rsidRDefault="00D567FB" w:rsidP="00D567FB">
      <w:r w:rsidRPr="00756D29">
        <w:t>The following mobility enhancements objectives are listed.</w:t>
      </w:r>
    </w:p>
    <w:p w14:paraId="41C46FBB" w14:textId="77777777" w:rsidR="00D567FB" w:rsidRPr="00756D29" w:rsidRDefault="00D567FB" w:rsidP="00D567FB">
      <w:pPr>
        <w:pStyle w:val="B1"/>
      </w:pPr>
      <w:r>
        <w:t>-</w:t>
      </w:r>
      <w:r>
        <w:tab/>
        <w:t xml:space="preserve">Support signalling in system information of neighbour cell ephemeris, for </w:t>
      </w:r>
      <w:proofErr w:type="spellStart"/>
      <w:r>
        <w:t>eMTC</w:t>
      </w:r>
      <w:proofErr w:type="spellEnd"/>
      <w:r>
        <w:t xml:space="preserve"> and NB-IoT [RAN2]</w:t>
      </w:r>
    </w:p>
    <w:p w14:paraId="5EBCA56B" w14:textId="5B4853F0" w:rsidR="00355D0B" w:rsidRPr="00355D0B" w:rsidRDefault="00355D0B" w:rsidP="00355D0B">
      <w:r>
        <w:rPr>
          <w:rFonts w:ascii="Arial" w:eastAsia="SimSun" w:hAnsi="Arial" w:cs="Arial"/>
        </w:rPr>
        <w:t xml:space="preserve">This contribution will discuss the </w:t>
      </w:r>
      <w:r w:rsidR="00D567FB">
        <w:rPr>
          <w:rFonts w:ascii="Arial" w:eastAsia="SimSun" w:hAnsi="Arial" w:cs="Arial"/>
        </w:rPr>
        <w:t>aspects of neighbour cell ephemeris.</w:t>
      </w:r>
    </w:p>
    <w:p w14:paraId="0C625E6C" w14:textId="606FF6C7" w:rsidR="00355D0B" w:rsidRDefault="00972E3C" w:rsidP="00355D0B">
      <w:pPr>
        <w:pStyle w:val="Heading1"/>
        <w:rPr>
          <w:rFonts w:cs="Arial"/>
          <w:b/>
          <w:lang w:val="en-US" w:eastAsia="ko-KR"/>
        </w:rPr>
      </w:pPr>
      <w:r w:rsidRPr="00A8423A">
        <w:rPr>
          <w:rFonts w:cs="Arial"/>
          <w:b/>
          <w:lang w:val="en-US" w:eastAsia="ko-KR"/>
        </w:rPr>
        <w:t xml:space="preserve">2 </w:t>
      </w:r>
      <w:r w:rsidR="00500F78" w:rsidRPr="00A8423A">
        <w:rPr>
          <w:rFonts w:cs="Arial"/>
          <w:b/>
          <w:lang w:val="en-US" w:eastAsia="ko-KR"/>
        </w:rPr>
        <w:t>Discussion</w:t>
      </w:r>
    </w:p>
    <w:p w14:paraId="49F8E283" w14:textId="47E135D3" w:rsidR="00026094" w:rsidRDefault="00046880" w:rsidP="00046880">
      <w:pPr>
        <w:rPr>
          <w:rFonts w:ascii="Arial" w:eastAsia="SimSun" w:hAnsi="Arial" w:cs="Arial"/>
          <w:lang w:eastAsia="zh-CN"/>
        </w:rPr>
      </w:pPr>
      <w:r>
        <w:rPr>
          <w:rFonts w:ascii="Arial" w:eastAsia="SimSun" w:hAnsi="Arial" w:cs="Arial"/>
          <w:lang w:val="en-US" w:eastAsia="zh-CN"/>
        </w:rPr>
        <w:t xml:space="preserve">In Rel-17, there are 3 different format of </w:t>
      </w:r>
      <w:proofErr w:type="spellStart"/>
      <w:r>
        <w:rPr>
          <w:rFonts w:ascii="Arial" w:eastAsia="SimSun" w:hAnsi="Arial" w:cs="Arial"/>
          <w:lang w:val="en-US" w:eastAsia="zh-CN"/>
        </w:rPr>
        <w:t>neighbour</w:t>
      </w:r>
      <w:proofErr w:type="spellEnd"/>
      <w:r>
        <w:rPr>
          <w:rFonts w:ascii="Arial" w:eastAsia="SimSun" w:hAnsi="Arial" w:cs="Arial"/>
          <w:lang w:val="en-US" w:eastAsia="zh-CN"/>
        </w:rPr>
        <w:t xml:space="preserve"> cell ephemeris defined in the specification. SSV and orbital parameters are used in SIB31 for serving cell UL compensation. The TLE format is used in SIB32 for predict the discontinuous coverage. The TLE format has a long validity duration, but the accuracy degrades a lot over time. Thus, TLE format is not suitable for </w:t>
      </w:r>
      <w:proofErr w:type="spellStart"/>
      <w:r>
        <w:rPr>
          <w:rFonts w:ascii="Arial" w:eastAsia="SimSun" w:hAnsi="Arial" w:cs="Arial"/>
          <w:lang w:val="en-US" w:eastAsia="zh-CN"/>
        </w:rPr>
        <w:t>neighbour</w:t>
      </w:r>
      <w:proofErr w:type="spellEnd"/>
      <w:r>
        <w:rPr>
          <w:rFonts w:ascii="Arial" w:eastAsia="SimSun" w:hAnsi="Arial" w:cs="Arial"/>
          <w:lang w:val="en-US" w:eastAsia="zh-CN"/>
        </w:rPr>
        <w:t xml:space="preserve"> cell ephemeris in the purpose of </w:t>
      </w:r>
      <w:proofErr w:type="spellStart"/>
      <w:r>
        <w:rPr>
          <w:rFonts w:ascii="Arial" w:eastAsia="SimSun" w:hAnsi="Arial" w:cs="Arial"/>
          <w:lang w:val="en-US" w:eastAsia="zh-CN"/>
        </w:rPr>
        <w:t>neighbour</w:t>
      </w:r>
      <w:proofErr w:type="spellEnd"/>
      <w:r>
        <w:rPr>
          <w:rFonts w:ascii="Arial" w:eastAsia="SimSun" w:hAnsi="Arial" w:cs="Arial"/>
          <w:lang w:val="en-US" w:eastAsia="zh-CN"/>
        </w:rPr>
        <w:t xml:space="preserve"> cell measurement. Therefore, the </w:t>
      </w:r>
      <w:proofErr w:type="spellStart"/>
      <w:r>
        <w:rPr>
          <w:rFonts w:ascii="Arial" w:eastAsia="SimSun" w:hAnsi="Arial" w:cs="Arial"/>
          <w:lang w:val="en-US" w:eastAsia="zh-CN"/>
        </w:rPr>
        <w:t>neighbour</w:t>
      </w:r>
      <w:proofErr w:type="spellEnd"/>
      <w:r>
        <w:rPr>
          <w:rFonts w:ascii="Arial" w:eastAsia="SimSun" w:hAnsi="Arial" w:cs="Arial"/>
          <w:lang w:val="en-US" w:eastAsia="zh-CN"/>
        </w:rPr>
        <w:t xml:space="preserve"> cell ephemeris can be put in the SIB31 in SSV and orbital format.</w:t>
      </w:r>
    </w:p>
    <w:p w14:paraId="4AFAFDB6" w14:textId="629EAF91" w:rsidR="00FD00BD" w:rsidRPr="00046880" w:rsidRDefault="00FD00BD" w:rsidP="00FD00BD">
      <w:pPr>
        <w:rPr>
          <w:rFonts w:ascii="Arial" w:eastAsia="SimSun" w:hAnsi="Arial" w:cs="Arial"/>
          <w:b/>
          <w:bCs/>
        </w:rPr>
      </w:pPr>
      <w:r w:rsidRPr="00046880">
        <w:rPr>
          <w:rFonts w:ascii="Arial" w:eastAsia="SimSun" w:hAnsi="Arial" w:cs="Arial"/>
          <w:b/>
          <w:bCs/>
        </w:rPr>
        <w:t>Proposal 1:</w:t>
      </w:r>
      <w:r w:rsidR="00026094" w:rsidRPr="00046880">
        <w:rPr>
          <w:rFonts w:ascii="Arial" w:eastAsia="SimSun" w:hAnsi="Arial" w:cs="Arial"/>
          <w:b/>
          <w:bCs/>
        </w:rPr>
        <w:t xml:space="preserve"> </w:t>
      </w:r>
      <w:r w:rsidR="00DF7FE3" w:rsidRPr="00046880">
        <w:rPr>
          <w:rFonts w:ascii="Arial" w:eastAsia="SimSun" w:hAnsi="Arial" w:cs="Arial"/>
          <w:b/>
          <w:bCs/>
        </w:rPr>
        <w:t>Add</w:t>
      </w:r>
      <w:r w:rsidR="00026094" w:rsidRPr="00046880">
        <w:rPr>
          <w:rFonts w:ascii="Arial" w:eastAsia="SimSun" w:hAnsi="Arial" w:cs="Arial"/>
          <w:b/>
          <w:bCs/>
        </w:rPr>
        <w:t xml:space="preserve"> the </w:t>
      </w:r>
      <w:r w:rsidR="004530FA" w:rsidRPr="00046880">
        <w:rPr>
          <w:rFonts w:ascii="Arial" w:eastAsia="SimSun" w:hAnsi="Arial" w:cs="Arial"/>
          <w:b/>
          <w:bCs/>
        </w:rPr>
        <w:t xml:space="preserve">optional parameter of </w:t>
      </w:r>
      <w:r w:rsidR="00026094" w:rsidRPr="00046880">
        <w:rPr>
          <w:rFonts w:ascii="Arial" w:eastAsia="SimSun" w:hAnsi="Arial" w:cs="Arial"/>
          <w:b/>
          <w:bCs/>
        </w:rPr>
        <w:t>neighbour cell ephemeris in SIB31 in SSV and orbital format.</w:t>
      </w:r>
    </w:p>
    <w:p w14:paraId="51FF867C" w14:textId="0C73AB01" w:rsidR="00046880" w:rsidRDefault="00046880" w:rsidP="00FD00BD">
      <w:pPr>
        <w:rPr>
          <w:rFonts w:ascii="Arial" w:eastAsia="SimSun" w:hAnsi="Arial" w:cs="Arial"/>
        </w:rPr>
      </w:pPr>
      <w:r>
        <w:rPr>
          <w:rFonts w:ascii="Arial" w:eastAsia="SimSun" w:hAnsi="Arial" w:cs="Arial" w:hint="eastAsia"/>
        </w:rPr>
        <w:t>F</w:t>
      </w:r>
      <w:r>
        <w:rPr>
          <w:rFonts w:ascii="Arial" w:eastAsia="SimSun" w:hAnsi="Arial" w:cs="Arial"/>
        </w:rPr>
        <w:t>requency of the neighbour cell is required by UE to perform neighbour cell measurement, but the cell id list is not mandatory. Common TA as a part of the satellite assistant information is required to predict the timing error. The epoch time and the UL sync validity duration are also required to calculate the validity duration of the satellite assistant information. But the k-offset and k-mac are not required as data transmission is not expected between UE and neighbour cell.</w:t>
      </w:r>
    </w:p>
    <w:p w14:paraId="244EBF19" w14:textId="5BDB95CF" w:rsidR="00DF7FE3" w:rsidRPr="00046880" w:rsidRDefault="00DF7FE3" w:rsidP="00FD00BD">
      <w:pPr>
        <w:rPr>
          <w:rFonts w:ascii="Arial" w:eastAsia="SimSun" w:hAnsi="Arial" w:cs="Arial"/>
          <w:b/>
          <w:bCs/>
        </w:rPr>
      </w:pPr>
      <w:r w:rsidRPr="00046880">
        <w:rPr>
          <w:rFonts w:ascii="Arial" w:eastAsia="SimSun" w:hAnsi="Arial" w:cs="Arial"/>
          <w:b/>
          <w:bCs/>
        </w:rPr>
        <w:t xml:space="preserve">Proposal 2: </w:t>
      </w:r>
      <w:r w:rsidR="00046880" w:rsidRPr="00046880">
        <w:rPr>
          <w:rFonts w:ascii="Arial" w:eastAsia="SimSun" w:hAnsi="Arial" w:cs="Arial"/>
          <w:b/>
          <w:bCs/>
        </w:rPr>
        <w:t>Other IEs are needed t</w:t>
      </w:r>
      <w:r w:rsidRPr="00046880">
        <w:rPr>
          <w:rFonts w:ascii="Arial" w:eastAsia="SimSun" w:hAnsi="Arial" w:cs="Arial"/>
          <w:b/>
          <w:bCs/>
        </w:rPr>
        <w:t>ogether with the neighbour cell ephemeris</w:t>
      </w:r>
      <w:r w:rsidR="00046880" w:rsidRPr="00046880">
        <w:rPr>
          <w:rFonts w:ascii="Arial" w:eastAsia="SimSun" w:hAnsi="Arial" w:cs="Arial"/>
          <w:b/>
          <w:bCs/>
        </w:rPr>
        <w:t>:</w:t>
      </w:r>
    </w:p>
    <w:p w14:paraId="120F19D1" w14:textId="1E3F2350" w:rsidR="00046880" w:rsidRPr="00C17C22" w:rsidRDefault="00046880" w:rsidP="00046880">
      <w:pPr>
        <w:pStyle w:val="ListParagraph"/>
        <w:numPr>
          <w:ilvl w:val="0"/>
          <w:numId w:val="33"/>
        </w:numPr>
        <w:rPr>
          <w:rFonts w:ascii="Arial" w:eastAsia="SimSun" w:hAnsi="Arial" w:cs="Arial"/>
          <w:b/>
          <w:bCs/>
          <w:sz w:val="20"/>
          <w:szCs w:val="20"/>
        </w:rPr>
      </w:pPr>
      <w:r w:rsidRPr="00C17C22">
        <w:rPr>
          <w:rFonts w:ascii="Arial" w:eastAsia="SimSun" w:hAnsi="Arial" w:cs="Arial"/>
          <w:b/>
          <w:bCs/>
          <w:sz w:val="20"/>
          <w:szCs w:val="20"/>
        </w:rPr>
        <w:t>The frequency and optional cell id list</w:t>
      </w:r>
    </w:p>
    <w:p w14:paraId="773A6836" w14:textId="29A07C92" w:rsidR="00046880" w:rsidRPr="00C17C22" w:rsidRDefault="00046880" w:rsidP="00046880">
      <w:pPr>
        <w:pStyle w:val="ListParagraph"/>
        <w:numPr>
          <w:ilvl w:val="0"/>
          <w:numId w:val="33"/>
        </w:numPr>
        <w:rPr>
          <w:rFonts w:ascii="Arial" w:eastAsia="SimSun" w:hAnsi="Arial" w:cs="Arial"/>
          <w:b/>
          <w:bCs/>
          <w:sz w:val="20"/>
          <w:szCs w:val="20"/>
        </w:rPr>
      </w:pPr>
      <w:r w:rsidRPr="00C17C22">
        <w:rPr>
          <w:rFonts w:ascii="Arial" w:eastAsia="SimSun" w:hAnsi="Arial" w:cs="Arial"/>
          <w:b/>
          <w:bCs/>
          <w:sz w:val="20"/>
          <w:szCs w:val="20"/>
        </w:rPr>
        <w:t>Common TA</w:t>
      </w:r>
    </w:p>
    <w:p w14:paraId="0CD7AB28" w14:textId="2557618E" w:rsidR="00046880" w:rsidRPr="00C17C22" w:rsidRDefault="00046880" w:rsidP="00046880">
      <w:pPr>
        <w:pStyle w:val="ListParagraph"/>
        <w:numPr>
          <w:ilvl w:val="0"/>
          <w:numId w:val="33"/>
        </w:numPr>
        <w:rPr>
          <w:rFonts w:ascii="Arial" w:eastAsia="SimSun" w:hAnsi="Arial" w:cs="Arial"/>
          <w:b/>
          <w:bCs/>
          <w:sz w:val="20"/>
          <w:szCs w:val="20"/>
        </w:rPr>
      </w:pPr>
      <w:r w:rsidRPr="00C17C22">
        <w:rPr>
          <w:rFonts w:ascii="Arial" w:eastAsia="SimSun" w:hAnsi="Arial" w:cs="Arial" w:hint="eastAsia"/>
          <w:b/>
          <w:bCs/>
          <w:sz w:val="20"/>
          <w:szCs w:val="20"/>
        </w:rPr>
        <w:t>U</w:t>
      </w:r>
      <w:r w:rsidRPr="00C17C22">
        <w:rPr>
          <w:rFonts w:ascii="Arial" w:eastAsia="SimSun" w:hAnsi="Arial" w:cs="Arial"/>
          <w:b/>
          <w:bCs/>
          <w:sz w:val="20"/>
          <w:szCs w:val="20"/>
        </w:rPr>
        <w:t>L sync validity duration</w:t>
      </w:r>
    </w:p>
    <w:p w14:paraId="24463D29" w14:textId="054BC7F3" w:rsidR="00046880" w:rsidRPr="00C17C22" w:rsidRDefault="00046880" w:rsidP="00046880">
      <w:pPr>
        <w:pStyle w:val="ListParagraph"/>
        <w:numPr>
          <w:ilvl w:val="0"/>
          <w:numId w:val="33"/>
        </w:numPr>
        <w:rPr>
          <w:rFonts w:ascii="Arial" w:eastAsia="SimSun" w:hAnsi="Arial" w:cs="Arial"/>
          <w:b/>
          <w:bCs/>
          <w:sz w:val="20"/>
          <w:szCs w:val="20"/>
        </w:rPr>
      </w:pPr>
      <w:r w:rsidRPr="00C17C22">
        <w:rPr>
          <w:rFonts w:ascii="Arial" w:eastAsia="SimSun" w:hAnsi="Arial" w:cs="Arial"/>
          <w:b/>
          <w:bCs/>
          <w:sz w:val="20"/>
          <w:szCs w:val="20"/>
        </w:rPr>
        <w:t>Epoch time</w:t>
      </w:r>
    </w:p>
    <w:p w14:paraId="2859F600" w14:textId="77777777" w:rsidR="00046880" w:rsidRPr="00DF7FE3" w:rsidRDefault="00046880" w:rsidP="00FD00BD">
      <w:pPr>
        <w:rPr>
          <w:rFonts w:ascii="Arial" w:eastAsia="SimSun" w:hAnsi="Arial" w:cs="Arial"/>
        </w:rPr>
      </w:pPr>
    </w:p>
    <w:p w14:paraId="1D89A14B" w14:textId="257C5E45" w:rsidR="006C2278"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4F381355" w14:textId="30DE7FA2" w:rsidR="00EB55C5" w:rsidRDefault="00EB55C5" w:rsidP="00EB55C5">
      <w:pPr>
        <w:rPr>
          <w:rFonts w:ascii="Arial" w:eastAsia="SimSun" w:hAnsi="Arial" w:cs="Arial"/>
          <w:b/>
          <w:bCs/>
        </w:rPr>
      </w:pPr>
      <w:r w:rsidRPr="00046880">
        <w:rPr>
          <w:rFonts w:ascii="Arial" w:eastAsia="SimSun" w:hAnsi="Arial" w:cs="Arial"/>
          <w:b/>
          <w:bCs/>
        </w:rPr>
        <w:t>Proposal 1: Add the optional parameter of neighbour cell ephemeris in SIB31 in SSV and orbital format.</w:t>
      </w:r>
    </w:p>
    <w:p w14:paraId="5B0CEF2C" w14:textId="77777777" w:rsidR="00EB55C5" w:rsidRPr="00046880" w:rsidRDefault="00EB55C5" w:rsidP="00EB55C5">
      <w:pPr>
        <w:rPr>
          <w:rFonts w:ascii="Arial" w:eastAsia="SimSun" w:hAnsi="Arial" w:cs="Arial"/>
          <w:b/>
          <w:bCs/>
        </w:rPr>
      </w:pPr>
      <w:r w:rsidRPr="00046880">
        <w:rPr>
          <w:rFonts w:ascii="Arial" w:eastAsia="SimSun" w:hAnsi="Arial" w:cs="Arial"/>
          <w:b/>
          <w:bCs/>
        </w:rPr>
        <w:t>Proposal 2: Other IEs are needed together with the neighbour cell ephemeris:</w:t>
      </w:r>
    </w:p>
    <w:p w14:paraId="1A406113" w14:textId="77777777" w:rsidR="00EB55C5" w:rsidRPr="000173A9" w:rsidRDefault="00EB55C5" w:rsidP="00EB55C5">
      <w:pPr>
        <w:pStyle w:val="ListParagraph"/>
        <w:numPr>
          <w:ilvl w:val="0"/>
          <w:numId w:val="34"/>
        </w:numPr>
        <w:rPr>
          <w:rFonts w:ascii="Arial" w:eastAsia="SimSun" w:hAnsi="Arial" w:cs="Arial"/>
          <w:b/>
          <w:bCs/>
          <w:sz w:val="20"/>
          <w:szCs w:val="20"/>
        </w:rPr>
      </w:pPr>
      <w:r w:rsidRPr="000173A9">
        <w:rPr>
          <w:rFonts w:ascii="Arial" w:eastAsia="SimSun" w:hAnsi="Arial" w:cs="Arial"/>
          <w:b/>
          <w:bCs/>
          <w:sz w:val="20"/>
          <w:szCs w:val="20"/>
        </w:rPr>
        <w:t>The frequency and optional cell id list</w:t>
      </w:r>
    </w:p>
    <w:p w14:paraId="32D8D392" w14:textId="77777777" w:rsidR="00EB55C5" w:rsidRPr="000173A9" w:rsidRDefault="00EB55C5" w:rsidP="00EB55C5">
      <w:pPr>
        <w:pStyle w:val="ListParagraph"/>
        <w:numPr>
          <w:ilvl w:val="0"/>
          <w:numId w:val="34"/>
        </w:numPr>
        <w:rPr>
          <w:rFonts w:ascii="Arial" w:eastAsia="SimSun" w:hAnsi="Arial" w:cs="Arial"/>
          <w:b/>
          <w:bCs/>
          <w:sz w:val="20"/>
          <w:szCs w:val="20"/>
        </w:rPr>
      </w:pPr>
      <w:r w:rsidRPr="000173A9">
        <w:rPr>
          <w:rFonts w:ascii="Arial" w:eastAsia="SimSun" w:hAnsi="Arial" w:cs="Arial"/>
          <w:b/>
          <w:bCs/>
          <w:sz w:val="20"/>
          <w:szCs w:val="20"/>
        </w:rPr>
        <w:t>Common TA</w:t>
      </w:r>
    </w:p>
    <w:p w14:paraId="43394E52" w14:textId="77777777" w:rsidR="00EB55C5" w:rsidRPr="000173A9" w:rsidRDefault="00EB55C5" w:rsidP="00EB55C5">
      <w:pPr>
        <w:pStyle w:val="ListParagraph"/>
        <w:numPr>
          <w:ilvl w:val="0"/>
          <w:numId w:val="34"/>
        </w:numPr>
        <w:rPr>
          <w:rFonts w:ascii="Arial" w:eastAsia="SimSun" w:hAnsi="Arial" w:cs="Arial"/>
          <w:b/>
          <w:bCs/>
          <w:sz w:val="20"/>
          <w:szCs w:val="20"/>
        </w:rPr>
      </w:pPr>
      <w:r w:rsidRPr="000173A9">
        <w:rPr>
          <w:rFonts w:ascii="Arial" w:eastAsia="SimSun" w:hAnsi="Arial" w:cs="Arial" w:hint="eastAsia"/>
          <w:b/>
          <w:bCs/>
          <w:sz w:val="20"/>
          <w:szCs w:val="20"/>
        </w:rPr>
        <w:t>U</w:t>
      </w:r>
      <w:r w:rsidRPr="000173A9">
        <w:rPr>
          <w:rFonts w:ascii="Arial" w:eastAsia="SimSun" w:hAnsi="Arial" w:cs="Arial"/>
          <w:b/>
          <w:bCs/>
          <w:sz w:val="20"/>
          <w:szCs w:val="20"/>
        </w:rPr>
        <w:t>L sync validity duration</w:t>
      </w:r>
    </w:p>
    <w:p w14:paraId="087E882B" w14:textId="77777777" w:rsidR="00EB55C5" w:rsidRPr="000173A9" w:rsidRDefault="00EB55C5" w:rsidP="00EB55C5">
      <w:pPr>
        <w:pStyle w:val="ListParagraph"/>
        <w:numPr>
          <w:ilvl w:val="0"/>
          <w:numId w:val="34"/>
        </w:numPr>
        <w:rPr>
          <w:rFonts w:ascii="Arial" w:eastAsia="SimSun" w:hAnsi="Arial" w:cs="Arial"/>
          <w:b/>
          <w:bCs/>
          <w:sz w:val="20"/>
          <w:szCs w:val="20"/>
        </w:rPr>
      </w:pPr>
      <w:r w:rsidRPr="000173A9">
        <w:rPr>
          <w:rFonts w:ascii="Arial" w:eastAsia="SimSun" w:hAnsi="Arial" w:cs="Arial"/>
          <w:b/>
          <w:bCs/>
          <w:sz w:val="20"/>
          <w:szCs w:val="20"/>
        </w:rPr>
        <w:lastRenderedPageBreak/>
        <w:t>Epoch time</w:t>
      </w:r>
    </w:p>
    <w:p w14:paraId="62D33108" w14:textId="77777777" w:rsidR="00EB55C5" w:rsidRPr="00046880" w:rsidRDefault="00EB55C5" w:rsidP="00EB55C5">
      <w:pPr>
        <w:rPr>
          <w:rFonts w:ascii="Arial" w:eastAsia="SimSun" w:hAnsi="Arial" w:cs="Arial"/>
          <w:b/>
          <w:bCs/>
        </w:rPr>
      </w:pPr>
    </w:p>
    <w:p w14:paraId="405B9EC4" w14:textId="77777777" w:rsidR="00EB55C5" w:rsidRDefault="00EB55C5" w:rsidP="00F54927">
      <w:pPr>
        <w:pStyle w:val="Heading1"/>
        <w:pBdr>
          <w:top w:val="single" w:sz="12" w:space="0" w:color="auto"/>
        </w:pBdr>
        <w:rPr>
          <w:lang w:eastAsia="ko-KR"/>
        </w:rPr>
      </w:pPr>
    </w:p>
    <w:p w14:paraId="54159F23" w14:textId="2533694E" w:rsidR="00EF622C" w:rsidRDefault="00910E3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27ADE958" w14:textId="42782BA2" w:rsidR="00A01D27" w:rsidRDefault="00A01D27" w:rsidP="00C359CD">
      <w:pPr>
        <w:pStyle w:val="ListParagraph"/>
        <w:numPr>
          <w:ilvl w:val="0"/>
          <w:numId w:val="2"/>
        </w:numPr>
        <w:spacing w:after="180"/>
        <w:rPr>
          <w:rFonts w:ascii="Arial" w:hAnsi="Arial" w:cs="Arial"/>
          <w:sz w:val="20"/>
          <w:szCs w:val="20"/>
          <w:lang w:val="en-US"/>
        </w:rPr>
      </w:pPr>
      <w:bookmarkStart w:id="2" w:name="_Ref109647240"/>
      <w:bookmarkStart w:id="3" w:name="_Ref7643634"/>
      <w:bookmarkStart w:id="4" w:name="_Ref7104523"/>
      <w:bookmarkStart w:id="5" w:name="_Ref4159051"/>
      <w:bookmarkStart w:id="6" w:name="_Ref7643592"/>
      <w:r w:rsidRPr="000C285C">
        <w:rPr>
          <w:rFonts w:ascii="Arial" w:hAnsi="Arial" w:cs="Arial"/>
          <w:sz w:val="20"/>
          <w:szCs w:val="20"/>
          <w:lang w:val="en-US"/>
        </w:rPr>
        <w:t xml:space="preserve">R4-2217265, RAN4, LS on information for neighbor/target cell in IoT </w:t>
      </w:r>
      <w:proofErr w:type="gramStart"/>
      <w:r w:rsidRPr="000C285C">
        <w:rPr>
          <w:rFonts w:ascii="Arial" w:hAnsi="Arial" w:cs="Arial"/>
          <w:sz w:val="20"/>
          <w:szCs w:val="20"/>
          <w:lang w:val="en-US"/>
        </w:rPr>
        <w:t>NTN,RAN</w:t>
      </w:r>
      <w:proofErr w:type="gramEnd"/>
      <w:r w:rsidRPr="000C285C">
        <w:rPr>
          <w:rFonts w:ascii="Arial" w:hAnsi="Arial" w:cs="Arial"/>
          <w:sz w:val="20"/>
          <w:szCs w:val="20"/>
          <w:lang w:val="en-US"/>
        </w:rPr>
        <w:t>4#104-bis-e, Oct 2022.</w:t>
      </w:r>
    </w:p>
    <w:p w14:paraId="4D393DDF" w14:textId="572CE0CE" w:rsidR="003D3512" w:rsidRPr="00C359CD" w:rsidRDefault="00002DF5" w:rsidP="00C359CD">
      <w:pPr>
        <w:pStyle w:val="ListParagraph"/>
        <w:numPr>
          <w:ilvl w:val="0"/>
          <w:numId w:val="2"/>
        </w:numPr>
        <w:spacing w:after="180"/>
        <w:rPr>
          <w:rFonts w:ascii="Arial" w:hAnsi="Arial" w:cs="Arial"/>
          <w:sz w:val="20"/>
          <w:szCs w:val="20"/>
          <w:lang w:val="en-US"/>
        </w:rPr>
      </w:pPr>
      <w:r w:rsidRPr="00D857B5">
        <w:rPr>
          <w:rFonts w:ascii="Arial" w:hAnsi="Arial" w:cs="Arial"/>
          <w:sz w:val="20"/>
          <w:szCs w:val="20"/>
          <w:lang w:val="en-US"/>
        </w:rPr>
        <w:t>RP-22</w:t>
      </w:r>
      <w:r w:rsidR="00A01D27">
        <w:rPr>
          <w:rFonts w:ascii="Arial" w:hAnsi="Arial" w:cs="Arial"/>
          <w:sz w:val="20"/>
          <w:szCs w:val="20"/>
          <w:lang w:val="en-US"/>
        </w:rPr>
        <w:t>3519</w:t>
      </w:r>
      <w:r w:rsidRPr="00F125CD">
        <w:rPr>
          <w:rFonts w:ascii="Arial" w:hAnsi="Arial" w:cs="Arial"/>
          <w:sz w:val="20"/>
          <w:szCs w:val="20"/>
          <w:lang w:val="en-US"/>
        </w:rPr>
        <w:t xml:space="preserve">, </w:t>
      </w:r>
      <w:r>
        <w:rPr>
          <w:rFonts w:ascii="Arial" w:hAnsi="Arial" w:cs="Arial"/>
          <w:sz w:val="20"/>
          <w:szCs w:val="20"/>
          <w:lang w:val="en-US"/>
        </w:rPr>
        <w:t>MediaTek</w:t>
      </w:r>
      <w:r w:rsidRPr="00F125CD">
        <w:rPr>
          <w:rFonts w:ascii="Arial" w:hAnsi="Arial" w:cs="Arial"/>
          <w:sz w:val="20"/>
          <w:szCs w:val="20"/>
          <w:lang w:val="en-US"/>
        </w:rPr>
        <w:t>,</w:t>
      </w:r>
      <w:r>
        <w:rPr>
          <w:rFonts w:ascii="Arial" w:hAnsi="Arial" w:cs="Arial"/>
          <w:sz w:val="20"/>
          <w:szCs w:val="20"/>
          <w:lang w:val="en-US"/>
        </w:rPr>
        <w:t xml:space="preserve"> WID on IoT NTN Enhancements</w:t>
      </w:r>
      <w:r w:rsidRPr="00F125CD">
        <w:rPr>
          <w:rFonts w:ascii="Arial" w:hAnsi="Arial" w:cs="Arial"/>
          <w:sz w:val="20"/>
          <w:szCs w:val="20"/>
          <w:lang w:val="en-US"/>
        </w:rPr>
        <w:t>, RAN#</w:t>
      </w:r>
      <w:r>
        <w:rPr>
          <w:rFonts w:ascii="Arial" w:hAnsi="Arial" w:cs="Arial"/>
          <w:sz w:val="20"/>
          <w:szCs w:val="20"/>
          <w:lang w:val="en-US"/>
        </w:rPr>
        <w:t>9</w:t>
      </w:r>
      <w:r w:rsidR="00A01D27">
        <w:rPr>
          <w:rFonts w:ascii="Arial" w:hAnsi="Arial" w:cs="Arial"/>
          <w:sz w:val="20"/>
          <w:szCs w:val="20"/>
          <w:lang w:val="en-US"/>
        </w:rPr>
        <w:t>8</w:t>
      </w:r>
      <w:r>
        <w:rPr>
          <w:rFonts w:ascii="Arial" w:hAnsi="Arial" w:cs="Arial"/>
          <w:sz w:val="20"/>
          <w:szCs w:val="20"/>
          <w:lang w:val="en-US"/>
        </w:rPr>
        <w:t>e</w:t>
      </w:r>
      <w:r w:rsidRPr="00F125CD">
        <w:rPr>
          <w:rFonts w:ascii="Arial" w:hAnsi="Arial" w:cs="Arial"/>
          <w:sz w:val="20"/>
          <w:szCs w:val="20"/>
          <w:lang w:val="en-US"/>
        </w:rPr>
        <w:t xml:space="preserve">, </w:t>
      </w:r>
      <w:r w:rsidR="00A01D27">
        <w:rPr>
          <w:rFonts w:ascii="Arial" w:hAnsi="Arial" w:cs="Arial"/>
          <w:sz w:val="20"/>
          <w:szCs w:val="20"/>
          <w:lang w:val="en-US"/>
        </w:rPr>
        <w:t>Dec</w:t>
      </w:r>
      <w:r w:rsidRPr="00F125CD">
        <w:rPr>
          <w:rFonts w:ascii="Arial" w:hAnsi="Arial" w:cs="Arial"/>
          <w:sz w:val="20"/>
          <w:szCs w:val="20"/>
          <w:lang w:val="en-US"/>
        </w:rPr>
        <w:t xml:space="preserve"> </w:t>
      </w:r>
      <w:r>
        <w:rPr>
          <w:rFonts w:ascii="Arial" w:hAnsi="Arial" w:cs="Arial"/>
          <w:sz w:val="20"/>
          <w:szCs w:val="20"/>
          <w:lang w:val="en-US"/>
        </w:rPr>
        <w:t>2022</w:t>
      </w:r>
      <w:r w:rsidRPr="00F125CD">
        <w:rPr>
          <w:rFonts w:ascii="Arial" w:hAnsi="Arial" w:cs="Arial"/>
          <w:sz w:val="20"/>
          <w:szCs w:val="20"/>
          <w:lang w:val="en-US"/>
        </w:rPr>
        <w:t>.</w:t>
      </w:r>
      <w:bookmarkEnd w:id="2"/>
      <w:bookmarkEnd w:id="3"/>
      <w:bookmarkEnd w:id="4"/>
      <w:bookmarkEnd w:id="5"/>
      <w:bookmarkEnd w:id="6"/>
    </w:p>
    <w:p w14:paraId="2F1BC7F4" w14:textId="77777777" w:rsidR="00CF3106" w:rsidRPr="00CF3106" w:rsidRDefault="00CF3106" w:rsidP="00CF3106">
      <w:pPr>
        <w:rPr>
          <w:lang w:val="en-US" w:eastAsia="ko-KR"/>
        </w:rPr>
      </w:pPr>
    </w:p>
    <w:sectPr w:rsidR="00CF3106" w:rsidRPr="00CF3106"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87E61" w14:textId="77777777" w:rsidR="00D85C5D" w:rsidRDefault="00D85C5D">
      <w:r>
        <w:separator/>
      </w:r>
    </w:p>
  </w:endnote>
  <w:endnote w:type="continuationSeparator" w:id="0">
    <w:p w14:paraId="471DC45E" w14:textId="77777777" w:rsidR="00D85C5D" w:rsidRDefault="00D85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739E36" w14:textId="77777777" w:rsidR="00D85C5D" w:rsidRDefault="00D85C5D">
      <w:r>
        <w:separator/>
      </w:r>
    </w:p>
  </w:footnote>
  <w:footnote w:type="continuationSeparator" w:id="0">
    <w:p w14:paraId="6569692A" w14:textId="77777777" w:rsidR="00D85C5D" w:rsidRDefault="00D85C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37D40"/>
    <w:multiLevelType w:val="hybridMultilevel"/>
    <w:tmpl w:val="2CB472A6"/>
    <w:lvl w:ilvl="0" w:tplc="38300E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F6D40B0"/>
    <w:multiLevelType w:val="hybridMultilevel"/>
    <w:tmpl w:val="E102C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E1ED2"/>
    <w:multiLevelType w:val="hybridMultilevel"/>
    <w:tmpl w:val="BC801504"/>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7" w15:restartNumberingAfterBreak="0">
    <w:nsid w:val="431A7FBF"/>
    <w:multiLevelType w:val="hybridMultilevel"/>
    <w:tmpl w:val="81F8867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7415B42"/>
    <w:multiLevelType w:val="hybridMultilevel"/>
    <w:tmpl w:val="81F8867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967108"/>
    <w:multiLevelType w:val="hybridMultilevel"/>
    <w:tmpl w:val="09988744"/>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23" w15:restartNumberingAfterBreak="0">
    <w:nsid w:val="58086632"/>
    <w:multiLevelType w:val="hybridMultilevel"/>
    <w:tmpl w:val="5860B424"/>
    <w:lvl w:ilvl="0" w:tplc="8BF49FC8">
      <w:start w:val="1"/>
      <w:numFmt w:val="decimal"/>
      <w:lvlText w:val="%1."/>
      <w:lvlJc w:val="left"/>
      <w:pPr>
        <w:ind w:left="1496" w:hanging="360"/>
      </w:pPr>
    </w:lvl>
    <w:lvl w:ilvl="1" w:tplc="04090019">
      <w:start w:val="1"/>
      <w:numFmt w:val="lowerLetter"/>
      <w:lvlText w:val="%2."/>
      <w:lvlJc w:val="left"/>
      <w:pPr>
        <w:ind w:left="2216" w:hanging="360"/>
      </w:pPr>
    </w:lvl>
    <w:lvl w:ilvl="2" w:tplc="0409001B">
      <w:start w:val="1"/>
      <w:numFmt w:val="lowerRoman"/>
      <w:lvlText w:val="%3."/>
      <w:lvlJc w:val="right"/>
      <w:pPr>
        <w:ind w:left="2936" w:hanging="180"/>
      </w:pPr>
    </w:lvl>
    <w:lvl w:ilvl="3" w:tplc="0409000F">
      <w:start w:val="1"/>
      <w:numFmt w:val="decimal"/>
      <w:lvlText w:val="%4."/>
      <w:lvlJc w:val="left"/>
      <w:pPr>
        <w:ind w:left="3656" w:hanging="360"/>
      </w:pPr>
    </w:lvl>
    <w:lvl w:ilvl="4" w:tplc="04090019">
      <w:start w:val="1"/>
      <w:numFmt w:val="lowerLetter"/>
      <w:lvlText w:val="%5."/>
      <w:lvlJc w:val="left"/>
      <w:pPr>
        <w:ind w:left="4376" w:hanging="360"/>
      </w:pPr>
    </w:lvl>
    <w:lvl w:ilvl="5" w:tplc="0409001B">
      <w:start w:val="1"/>
      <w:numFmt w:val="lowerRoman"/>
      <w:lvlText w:val="%6."/>
      <w:lvlJc w:val="right"/>
      <w:pPr>
        <w:ind w:left="5096" w:hanging="180"/>
      </w:pPr>
    </w:lvl>
    <w:lvl w:ilvl="6" w:tplc="0409000F">
      <w:start w:val="1"/>
      <w:numFmt w:val="decimal"/>
      <w:lvlText w:val="%7."/>
      <w:lvlJc w:val="left"/>
      <w:pPr>
        <w:ind w:left="5816" w:hanging="360"/>
      </w:pPr>
    </w:lvl>
    <w:lvl w:ilvl="7" w:tplc="04090019">
      <w:start w:val="1"/>
      <w:numFmt w:val="lowerLetter"/>
      <w:lvlText w:val="%8."/>
      <w:lvlJc w:val="left"/>
      <w:pPr>
        <w:ind w:left="6536" w:hanging="360"/>
      </w:pPr>
    </w:lvl>
    <w:lvl w:ilvl="8" w:tplc="0409001B">
      <w:start w:val="1"/>
      <w:numFmt w:val="lowerRoman"/>
      <w:lvlText w:val="%9."/>
      <w:lvlJc w:val="right"/>
      <w:pPr>
        <w:ind w:left="7256" w:hanging="180"/>
      </w:pPr>
    </w:lvl>
  </w:abstractNum>
  <w:abstractNum w:abstractNumId="24" w15:restartNumberingAfterBreak="0">
    <w:nsid w:val="5D085408"/>
    <w:multiLevelType w:val="hybridMultilevel"/>
    <w:tmpl w:val="D1064E5E"/>
    <w:lvl w:ilvl="0" w:tplc="1AB62DC2">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2090AA3"/>
    <w:multiLevelType w:val="hybridMultilevel"/>
    <w:tmpl w:val="91C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0"/>
  </w:num>
  <w:num w:numId="3">
    <w:abstractNumId w:val="15"/>
  </w:num>
  <w:num w:numId="4">
    <w:abstractNumId w:val="19"/>
  </w:num>
  <w:num w:numId="5">
    <w:abstractNumId w:val="3"/>
  </w:num>
  <w:num w:numId="6">
    <w:abstractNumId w:val="1"/>
  </w:num>
  <w:num w:numId="7">
    <w:abstractNumId w:val="13"/>
  </w:num>
  <w:num w:numId="8">
    <w:abstractNumId w:val="28"/>
  </w:num>
  <w:num w:numId="9">
    <w:abstractNumId w:val="6"/>
  </w:num>
  <w:num w:numId="10">
    <w:abstractNumId w:val="31"/>
  </w:num>
  <w:num w:numId="11">
    <w:abstractNumId w:val="32"/>
  </w:num>
  <w:num w:numId="12">
    <w:abstractNumId w:val="11"/>
  </w:num>
  <w:num w:numId="13">
    <w:abstractNumId w:val="27"/>
  </w:num>
  <w:num w:numId="14">
    <w:abstractNumId w:val="21"/>
  </w:num>
  <w:num w:numId="15">
    <w:abstractNumId w:val="7"/>
  </w:num>
  <w:num w:numId="16">
    <w:abstractNumId w:val="14"/>
  </w:num>
  <w:num w:numId="17">
    <w:abstractNumId w:val="16"/>
  </w:num>
  <w:num w:numId="18">
    <w:abstractNumId w:val="25"/>
  </w:num>
  <w:num w:numId="19">
    <w:abstractNumId w:val="33"/>
  </w:num>
  <w:num w:numId="20">
    <w:abstractNumId w:val="26"/>
  </w:num>
  <w:num w:numId="21">
    <w:abstractNumId w:val="29"/>
  </w:num>
  <w:num w:numId="22">
    <w:abstractNumId w:val="5"/>
  </w:num>
  <w:num w:numId="23">
    <w:abstractNumId w:val="30"/>
  </w:num>
  <w:num w:numId="24">
    <w:abstractNumId w:val="9"/>
  </w:num>
  <w:num w:numId="25">
    <w:abstractNumId w:val="10"/>
  </w:num>
  <w:num w:numId="26">
    <w:abstractNumId w:val="4"/>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4"/>
  </w:num>
  <w:num w:numId="30">
    <w:abstractNumId w:val="2"/>
  </w:num>
  <w:num w:numId="31">
    <w:abstractNumId w:val="20"/>
  </w:num>
  <w:num w:numId="32">
    <w:abstractNumId w:val="12"/>
  </w:num>
  <w:num w:numId="33">
    <w:abstractNumId w:val="18"/>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505D"/>
    <w:rsid w:val="00005C91"/>
    <w:rsid w:val="00007E67"/>
    <w:rsid w:val="00007FCB"/>
    <w:rsid w:val="0001209C"/>
    <w:rsid w:val="0001240B"/>
    <w:rsid w:val="00012712"/>
    <w:rsid w:val="00012A8D"/>
    <w:rsid w:val="00012B35"/>
    <w:rsid w:val="00013E76"/>
    <w:rsid w:val="000146BF"/>
    <w:rsid w:val="00014C64"/>
    <w:rsid w:val="0001634A"/>
    <w:rsid w:val="00016C2D"/>
    <w:rsid w:val="00016D38"/>
    <w:rsid w:val="000171C2"/>
    <w:rsid w:val="000173A9"/>
    <w:rsid w:val="00017628"/>
    <w:rsid w:val="0002085E"/>
    <w:rsid w:val="000209C9"/>
    <w:rsid w:val="00021FA4"/>
    <w:rsid w:val="00022D2D"/>
    <w:rsid w:val="00022E4A"/>
    <w:rsid w:val="00023304"/>
    <w:rsid w:val="0002517E"/>
    <w:rsid w:val="000251C0"/>
    <w:rsid w:val="00025537"/>
    <w:rsid w:val="00025828"/>
    <w:rsid w:val="00026094"/>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ABA"/>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880"/>
    <w:rsid w:val="0004696C"/>
    <w:rsid w:val="00046B2C"/>
    <w:rsid w:val="00047C15"/>
    <w:rsid w:val="00047D19"/>
    <w:rsid w:val="00050A6D"/>
    <w:rsid w:val="00051913"/>
    <w:rsid w:val="000523A6"/>
    <w:rsid w:val="0005466B"/>
    <w:rsid w:val="00056789"/>
    <w:rsid w:val="0005765C"/>
    <w:rsid w:val="00057E1E"/>
    <w:rsid w:val="00060853"/>
    <w:rsid w:val="000616F5"/>
    <w:rsid w:val="000617F2"/>
    <w:rsid w:val="0006197D"/>
    <w:rsid w:val="00062934"/>
    <w:rsid w:val="000637FC"/>
    <w:rsid w:val="00064FFD"/>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B67"/>
    <w:rsid w:val="00082D1A"/>
    <w:rsid w:val="00084768"/>
    <w:rsid w:val="00084830"/>
    <w:rsid w:val="0008494B"/>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1AB0"/>
    <w:rsid w:val="000B2264"/>
    <w:rsid w:val="000B3BFD"/>
    <w:rsid w:val="000B419C"/>
    <w:rsid w:val="000B63E7"/>
    <w:rsid w:val="000B71CD"/>
    <w:rsid w:val="000C00BC"/>
    <w:rsid w:val="000C0FCB"/>
    <w:rsid w:val="000C2021"/>
    <w:rsid w:val="000C2330"/>
    <w:rsid w:val="000C285C"/>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5A81"/>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57C"/>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3241"/>
    <w:rsid w:val="00164D5A"/>
    <w:rsid w:val="00167588"/>
    <w:rsid w:val="00167FC4"/>
    <w:rsid w:val="00172F10"/>
    <w:rsid w:val="00173394"/>
    <w:rsid w:val="00173FA7"/>
    <w:rsid w:val="00176899"/>
    <w:rsid w:val="00176C99"/>
    <w:rsid w:val="00176D07"/>
    <w:rsid w:val="00180E1D"/>
    <w:rsid w:val="00182D11"/>
    <w:rsid w:val="00183903"/>
    <w:rsid w:val="00184D44"/>
    <w:rsid w:val="00184F44"/>
    <w:rsid w:val="00186027"/>
    <w:rsid w:val="001861C3"/>
    <w:rsid w:val="001912AE"/>
    <w:rsid w:val="00191FD3"/>
    <w:rsid w:val="00192732"/>
    <w:rsid w:val="00194B39"/>
    <w:rsid w:val="00196648"/>
    <w:rsid w:val="00197A50"/>
    <w:rsid w:val="001A030D"/>
    <w:rsid w:val="001A062E"/>
    <w:rsid w:val="001A09AB"/>
    <w:rsid w:val="001A114C"/>
    <w:rsid w:val="001A14EA"/>
    <w:rsid w:val="001A1FBB"/>
    <w:rsid w:val="001A25B0"/>
    <w:rsid w:val="001A3992"/>
    <w:rsid w:val="001A3C10"/>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39BD"/>
    <w:rsid w:val="001B5FB6"/>
    <w:rsid w:val="001B6C8C"/>
    <w:rsid w:val="001B6EC3"/>
    <w:rsid w:val="001B7764"/>
    <w:rsid w:val="001C09B3"/>
    <w:rsid w:val="001C227D"/>
    <w:rsid w:val="001C4139"/>
    <w:rsid w:val="001C4279"/>
    <w:rsid w:val="001C56C4"/>
    <w:rsid w:val="001D0407"/>
    <w:rsid w:val="001D0C04"/>
    <w:rsid w:val="001D14B9"/>
    <w:rsid w:val="001D18C0"/>
    <w:rsid w:val="001D1C03"/>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00A"/>
    <w:rsid w:val="0020191F"/>
    <w:rsid w:val="002030CF"/>
    <w:rsid w:val="00203ECF"/>
    <w:rsid w:val="00204404"/>
    <w:rsid w:val="00204ACF"/>
    <w:rsid w:val="00206576"/>
    <w:rsid w:val="00207FDC"/>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CC1"/>
    <w:rsid w:val="00236117"/>
    <w:rsid w:val="00236310"/>
    <w:rsid w:val="002402B1"/>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3FE6"/>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A7C56"/>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2F33F5"/>
    <w:rsid w:val="00303AA0"/>
    <w:rsid w:val="00304023"/>
    <w:rsid w:val="00307FD9"/>
    <w:rsid w:val="003118A6"/>
    <w:rsid w:val="003134E9"/>
    <w:rsid w:val="00313F90"/>
    <w:rsid w:val="00316B20"/>
    <w:rsid w:val="003176AE"/>
    <w:rsid w:val="003226BA"/>
    <w:rsid w:val="003228DD"/>
    <w:rsid w:val="003241A2"/>
    <w:rsid w:val="00324EB9"/>
    <w:rsid w:val="0032527B"/>
    <w:rsid w:val="00326D62"/>
    <w:rsid w:val="0032716A"/>
    <w:rsid w:val="003313BF"/>
    <w:rsid w:val="003316B9"/>
    <w:rsid w:val="00331B7C"/>
    <w:rsid w:val="0033379C"/>
    <w:rsid w:val="00334329"/>
    <w:rsid w:val="00334D18"/>
    <w:rsid w:val="00334E11"/>
    <w:rsid w:val="00335150"/>
    <w:rsid w:val="0033524A"/>
    <w:rsid w:val="0033559B"/>
    <w:rsid w:val="00335874"/>
    <w:rsid w:val="003358FA"/>
    <w:rsid w:val="00340160"/>
    <w:rsid w:val="00340530"/>
    <w:rsid w:val="0034093A"/>
    <w:rsid w:val="003414D8"/>
    <w:rsid w:val="00343389"/>
    <w:rsid w:val="00343ECA"/>
    <w:rsid w:val="0034475B"/>
    <w:rsid w:val="003452F0"/>
    <w:rsid w:val="003470D0"/>
    <w:rsid w:val="0034739C"/>
    <w:rsid w:val="00351105"/>
    <w:rsid w:val="003516ED"/>
    <w:rsid w:val="003545DC"/>
    <w:rsid w:val="00355BEA"/>
    <w:rsid w:val="00355D0B"/>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C7984"/>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36A4"/>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303"/>
    <w:rsid w:val="00425EC2"/>
    <w:rsid w:val="0042609B"/>
    <w:rsid w:val="004262F6"/>
    <w:rsid w:val="00426C33"/>
    <w:rsid w:val="0043364B"/>
    <w:rsid w:val="004344C0"/>
    <w:rsid w:val="00434B9D"/>
    <w:rsid w:val="0043576A"/>
    <w:rsid w:val="004406BC"/>
    <w:rsid w:val="004423FA"/>
    <w:rsid w:val="004435E2"/>
    <w:rsid w:val="00444E7E"/>
    <w:rsid w:val="00445FE2"/>
    <w:rsid w:val="00446A61"/>
    <w:rsid w:val="00446BC2"/>
    <w:rsid w:val="00447317"/>
    <w:rsid w:val="0045113F"/>
    <w:rsid w:val="00452001"/>
    <w:rsid w:val="00452B50"/>
    <w:rsid w:val="00452FA4"/>
    <w:rsid w:val="0045306C"/>
    <w:rsid w:val="004530FA"/>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5B2"/>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177"/>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880"/>
    <w:rsid w:val="00530958"/>
    <w:rsid w:val="005319AD"/>
    <w:rsid w:val="00533164"/>
    <w:rsid w:val="00534359"/>
    <w:rsid w:val="00534864"/>
    <w:rsid w:val="005365D7"/>
    <w:rsid w:val="00537CEF"/>
    <w:rsid w:val="00537FCB"/>
    <w:rsid w:val="0054099C"/>
    <w:rsid w:val="00540F93"/>
    <w:rsid w:val="00542904"/>
    <w:rsid w:val="00543D4E"/>
    <w:rsid w:val="0054501D"/>
    <w:rsid w:val="0054779C"/>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FC"/>
    <w:rsid w:val="005658C7"/>
    <w:rsid w:val="00565F5F"/>
    <w:rsid w:val="00565F8C"/>
    <w:rsid w:val="0056645F"/>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BBB"/>
    <w:rsid w:val="00587DC1"/>
    <w:rsid w:val="00590308"/>
    <w:rsid w:val="00590516"/>
    <w:rsid w:val="00590EC7"/>
    <w:rsid w:val="00591027"/>
    <w:rsid w:val="005917D3"/>
    <w:rsid w:val="00592961"/>
    <w:rsid w:val="00592E09"/>
    <w:rsid w:val="005932EB"/>
    <w:rsid w:val="00595051"/>
    <w:rsid w:val="005950A4"/>
    <w:rsid w:val="0059660C"/>
    <w:rsid w:val="0059688F"/>
    <w:rsid w:val="00596FC1"/>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BD4"/>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5BDD"/>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4560"/>
    <w:rsid w:val="00644959"/>
    <w:rsid w:val="0064513E"/>
    <w:rsid w:val="006463B2"/>
    <w:rsid w:val="00647DE4"/>
    <w:rsid w:val="00650EFB"/>
    <w:rsid w:val="006522B8"/>
    <w:rsid w:val="00653807"/>
    <w:rsid w:val="006546EA"/>
    <w:rsid w:val="00655D95"/>
    <w:rsid w:val="00656CA2"/>
    <w:rsid w:val="0065777C"/>
    <w:rsid w:val="00657A1C"/>
    <w:rsid w:val="00661721"/>
    <w:rsid w:val="00661EE2"/>
    <w:rsid w:val="00662440"/>
    <w:rsid w:val="00662BD7"/>
    <w:rsid w:val="00662ED6"/>
    <w:rsid w:val="006647D0"/>
    <w:rsid w:val="00664F4E"/>
    <w:rsid w:val="00666DC3"/>
    <w:rsid w:val="00670B47"/>
    <w:rsid w:val="00671B57"/>
    <w:rsid w:val="006753B2"/>
    <w:rsid w:val="006759D4"/>
    <w:rsid w:val="006759FD"/>
    <w:rsid w:val="00675EEA"/>
    <w:rsid w:val="006761C0"/>
    <w:rsid w:val="0067731B"/>
    <w:rsid w:val="00677932"/>
    <w:rsid w:val="00681A2D"/>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97"/>
    <w:rsid w:val="007174A4"/>
    <w:rsid w:val="00717F78"/>
    <w:rsid w:val="0072058C"/>
    <w:rsid w:val="00720A84"/>
    <w:rsid w:val="00720C8A"/>
    <w:rsid w:val="00721B24"/>
    <w:rsid w:val="00722477"/>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515FC"/>
    <w:rsid w:val="007517F0"/>
    <w:rsid w:val="0075301B"/>
    <w:rsid w:val="00753622"/>
    <w:rsid w:val="0075370C"/>
    <w:rsid w:val="0075461B"/>
    <w:rsid w:val="00754CCC"/>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1C2B"/>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40378"/>
    <w:rsid w:val="00842E62"/>
    <w:rsid w:val="008430F3"/>
    <w:rsid w:val="00843DE4"/>
    <w:rsid w:val="00844353"/>
    <w:rsid w:val="00844D6D"/>
    <w:rsid w:val="00845171"/>
    <w:rsid w:val="008471BC"/>
    <w:rsid w:val="008477CA"/>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59D0"/>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0DD"/>
    <w:rsid w:val="008A5A2F"/>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4BF4"/>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5"/>
    <w:rsid w:val="00946650"/>
    <w:rsid w:val="00946F6D"/>
    <w:rsid w:val="00946FF3"/>
    <w:rsid w:val="009552BD"/>
    <w:rsid w:val="00955380"/>
    <w:rsid w:val="0095602D"/>
    <w:rsid w:val="0095621F"/>
    <w:rsid w:val="0095665F"/>
    <w:rsid w:val="00957B2B"/>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117"/>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B7F61"/>
    <w:rsid w:val="009C0630"/>
    <w:rsid w:val="009C0FAF"/>
    <w:rsid w:val="009C11B6"/>
    <w:rsid w:val="009C129F"/>
    <w:rsid w:val="009C3D94"/>
    <w:rsid w:val="009C3E13"/>
    <w:rsid w:val="009C415C"/>
    <w:rsid w:val="009C59D4"/>
    <w:rsid w:val="009C73A0"/>
    <w:rsid w:val="009C753E"/>
    <w:rsid w:val="009C76B5"/>
    <w:rsid w:val="009D0959"/>
    <w:rsid w:val="009D1580"/>
    <w:rsid w:val="009D3A23"/>
    <w:rsid w:val="009D3E26"/>
    <w:rsid w:val="009D4B94"/>
    <w:rsid w:val="009D5235"/>
    <w:rsid w:val="009D5252"/>
    <w:rsid w:val="009D5824"/>
    <w:rsid w:val="009D5E97"/>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1D27"/>
    <w:rsid w:val="00A0254A"/>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50DF"/>
    <w:rsid w:val="00A45F00"/>
    <w:rsid w:val="00A47E70"/>
    <w:rsid w:val="00A505FA"/>
    <w:rsid w:val="00A51A91"/>
    <w:rsid w:val="00A52551"/>
    <w:rsid w:val="00A53EF7"/>
    <w:rsid w:val="00A540C6"/>
    <w:rsid w:val="00A54BED"/>
    <w:rsid w:val="00A54D9B"/>
    <w:rsid w:val="00A5517A"/>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423A"/>
    <w:rsid w:val="00A84A2A"/>
    <w:rsid w:val="00A86CBE"/>
    <w:rsid w:val="00A877CF"/>
    <w:rsid w:val="00A90726"/>
    <w:rsid w:val="00A9073E"/>
    <w:rsid w:val="00A9163B"/>
    <w:rsid w:val="00A936CB"/>
    <w:rsid w:val="00A93A24"/>
    <w:rsid w:val="00A94292"/>
    <w:rsid w:val="00A95F19"/>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208"/>
    <w:rsid w:val="00AD2E7A"/>
    <w:rsid w:val="00AD30A8"/>
    <w:rsid w:val="00AD33BA"/>
    <w:rsid w:val="00AD6A49"/>
    <w:rsid w:val="00AD7896"/>
    <w:rsid w:val="00AE0ABA"/>
    <w:rsid w:val="00AE0C06"/>
    <w:rsid w:val="00AE19FA"/>
    <w:rsid w:val="00AE1EAB"/>
    <w:rsid w:val="00AE43E2"/>
    <w:rsid w:val="00AE4BB5"/>
    <w:rsid w:val="00AE4C6E"/>
    <w:rsid w:val="00AE4CE9"/>
    <w:rsid w:val="00AE4F4F"/>
    <w:rsid w:val="00AE6388"/>
    <w:rsid w:val="00AE690E"/>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9FD"/>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30C"/>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A766F"/>
    <w:rsid w:val="00BA775C"/>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B7C9C"/>
    <w:rsid w:val="00BC1AC4"/>
    <w:rsid w:val="00BC4A2A"/>
    <w:rsid w:val="00BC519C"/>
    <w:rsid w:val="00BC6DC0"/>
    <w:rsid w:val="00BC700C"/>
    <w:rsid w:val="00BC7775"/>
    <w:rsid w:val="00BC792D"/>
    <w:rsid w:val="00BD1574"/>
    <w:rsid w:val="00BD200E"/>
    <w:rsid w:val="00BD279D"/>
    <w:rsid w:val="00BD2C7B"/>
    <w:rsid w:val="00BD48CB"/>
    <w:rsid w:val="00BD5C11"/>
    <w:rsid w:val="00BD6AFA"/>
    <w:rsid w:val="00BD7403"/>
    <w:rsid w:val="00BD7520"/>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C5A"/>
    <w:rsid w:val="00C13FA5"/>
    <w:rsid w:val="00C14566"/>
    <w:rsid w:val="00C14AEC"/>
    <w:rsid w:val="00C151BB"/>
    <w:rsid w:val="00C15CFB"/>
    <w:rsid w:val="00C16E18"/>
    <w:rsid w:val="00C17C22"/>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9CD"/>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47C06"/>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6E"/>
    <w:rsid w:val="00C73C9E"/>
    <w:rsid w:val="00C73CEF"/>
    <w:rsid w:val="00C7490C"/>
    <w:rsid w:val="00C74B95"/>
    <w:rsid w:val="00C74D52"/>
    <w:rsid w:val="00C7602D"/>
    <w:rsid w:val="00C76352"/>
    <w:rsid w:val="00C77464"/>
    <w:rsid w:val="00C80496"/>
    <w:rsid w:val="00C807E7"/>
    <w:rsid w:val="00C813D9"/>
    <w:rsid w:val="00C81C94"/>
    <w:rsid w:val="00C820FE"/>
    <w:rsid w:val="00C82F81"/>
    <w:rsid w:val="00C85274"/>
    <w:rsid w:val="00C85F05"/>
    <w:rsid w:val="00C8663E"/>
    <w:rsid w:val="00C867CF"/>
    <w:rsid w:val="00C86B9A"/>
    <w:rsid w:val="00C8796E"/>
    <w:rsid w:val="00C87E49"/>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93B"/>
    <w:rsid w:val="00D25DEF"/>
    <w:rsid w:val="00D2652A"/>
    <w:rsid w:val="00D26A64"/>
    <w:rsid w:val="00D27486"/>
    <w:rsid w:val="00D30410"/>
    <w:rsid w:val="00D3092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64EC"/>
    <w:rsid w:val="00D470D5"/>
    <w:rsid w:val="00D47213"/>
    <w:rsid w:val="00D50252"/>
    <w:rsid w:val="00D50345"/>
    <w:rsid w:val="00D51449"/>
    <w:rsid w:val="00D51C09"/>
    <w:rsid w:val="00D51EEB"/>
    <w:rsid w:val="00D5284F"/>
    <w:rsid w:val="00D52F08"/>
    <w:rsid w:val="00D53D21"/>
    <w:rsid w:val="00D54983"/>
    <w:rsid w:val="00D55576"/>
    <w:rsid w:val="00D55863"/>
    <w:rsid w:val="00D567FB"/>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5C5D"/>
    <w:rsid w:val="00D87131"/>
    <w:rsid w:val="00D8737F"/>
    <w:rsid w:val="00D875C5"/>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28"/>
    <w:rsid w:val="00DB27FC"/>
    <w:rsid w:val="00DB4104"/>
    <w:rsid w:val="00DB4ACD"/>
    <w:rsid w:val="00DB57F8"/>
    <w:rsid w:val="00DB65CC"/>
    <w:rsid w:val="00DB6E72"/>
    <w:rsid w:val="00DB7B76"/>
    <w:rsid w:val="00DC2AD5"/>
    <w:rsid w:val="00DC6780"/>
    <w:rsid w:val="00DD07AA"/>
    <w:rsid w:val="00DD0BC9"/>
    <w:rsid w:val="00DD3007"/>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5D15"/>
    <w:rsid w:val="00DF686E"/>
    <w:rsid w:val="00DF7125"/>
    <w:rsid w:val="00DF7FE3"/>
    <w:rsid w:val="00E015DC"/>
    <w:rsid w:val="00E017C8"/>
    <w:rsid w:val="00E025D7"/>
    <w:rsid w:val="00E032E7"/>
    <w:rsid w:val="00E035DD"/>
    <w:rsid w:val="00E0454C"/>
    <w:rsid w:val="00E047B2"/>
    <w:rsid w:val="00E060F5"/>
    <w:rsid w:val="00E06808"/>
    <w:rsid w:val="00E07AF5"/>
    <w:rsid w:val="00E1053F"/>
    <w:rsid w:val="00E1058D"/>
    <w:rsid w:val="00E1127D"/>
    <w:rsid w:val="00E116B2"/>
    <w:rsid w:val="00E121CF"/>
    <w:rsid w:val="00E1239C"/>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365AB"/>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31C7"/>
    <w:rsid w:val="00E54D8A"/>
    <w:rsid w:val="00E55B23"/>
    <w:rsid w:val="00E56131"/>
    <w:rsid w:val="00E567A7"/>
    <w:rsid w:val="00E56F6F"/>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171"/>
    <w:rsid w:val="00EA7763"/>
    <w:rsid w:val="00EB05A1"/>
    <w:rsid w:val="00EB178F"/>
    <w:rsid w:val="00EB1E7D"/>
    <w:rsid w:val="00EB2957"/>
    <w:rsid w:val="00EB2961"/>
    <w:rsid w:val="00EB2F84"/>
    <w:rsid w:val="00EB3535"/>
    <w:rsid w:val="00EB353F"/>
    <w:rsid w:val="00EB3674"/>
    <w:rsid w:val="00EB3D1F"/>
    <w:rsid w:val="00EB51C7"/>
    <w:rsid w:val="00EB52B6"/>
    <w:rsid w:val="00EB55C5"/>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726"/>
    <w:rsid w:val="00F17CCD"/>
    <w:rsid w:val="00F205C9"/>
    <w:rsid w:val="00F25D98"/>
    <w:rsid w:val="00F25EFB"/>
    <w:rsid w:val="00F263FF"/>
    <w:rsid w:val="00F26756"/>
    <w:rsid w:val="00F26CF2"/>
    <w:rsid w:val="00F26F8E"/>
    <w:rsid w:val="00F27768"/>
    <w:rsid w:val="00F27E86"/>
    <w:rsid w:val="00F300FB"/>
    <w:rsid w:val="00F30B59"/>
    <w:rsid w:val="00F32195"/>
    <w:rsid w:val="00F34A2F"/>
    <w:rsid w:val="00F34E41"/>
    <w:rsid w:val="00F34E90"/>
    <w:rsid w:val="00F34E97"/>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041"/>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0BD"/>
    <w:rsid w:val="00FD0D3D"/>
    <w:rsid w:val="00FD2825"/>
    <w:rsid w:val="00FD2838"/>
    <w:rsid w:val="00FD2CF1"/>
    <w:rsid w:val="00FD3082"/>
    <w:rsid w:val="00FD322F"/>
    <w:rsid w:val="00FD34F0"/>
    <w:rsid w:val="00FD38A3"/>
    <w:rsid w:val="00FD5002"/>
    <w:rsid w:val="00FD51B9"/>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5C5"/>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 w:type="paragraph" w:customStyle="1" w:styleId="Comments">
    <w:name w:val="Comments"/>
    <w:basedOn w:val="Normal"/>
    <w:link w:val="CommentsChar"/>
    <w:qFormat/>
    <w:rsid w:val="0098311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83117"/>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80416203">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2730</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2022-09-26T18:44:00Z</dcterms:created>
  <dcterms:modified xsi:type="dcterms:W3CDTF">2023-02-16T17:49:00Z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2023-02-15T09:30:58Z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9de5226d-1a3e-4565-a8b1-4defb114e486</vt:lpwstr>
  </property>
  <property fmtid="{D5CDD505-2E9C-101B-9397-08002B2CF9AE}" pid="9" name="MSIP_Label_83bcef13-7cac-433f-ba1d-47a323951816_ContentBits">
    <vt:lpwstr>0</vt:lpwstr>
  </property>
</Properties>
</file>